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ind w:left="6237" w:right="-283" w:firstLine="0"/>
        <w:jc w:val="right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ПРОЕКТ</w:t>
      </w:r>
      <w:r>
        <w:rPr>
          <w:rFonts w:ascii="Times New Roman" w:hAnsi="Times New Roman" w:cs="Times New Roman"/>
          <w:b w:val="0"/>
          <w:sz w:val="28"/>
        </w:rPr>
      </w:r>
      <w:r>
        <w:rPr>
          <w:rFonts w:ascii="Times New Roman" w:hAnsi="Times New Roman" w:cs="Times New Roman"/>
          <w:b w:val="0"/>
          <w:sz w:val="28"/>
        </w:rPr>
      </w:r>
    </w:p>
    <w:p>
      <w:pPr>
        <w:pStyle w:val="837"/>
        <w:ind w:left="6237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</w:r>
      <w:r>
        <w:rPr>
          <w:rFonts w:ascii="Times New Roman" w:hAnsi="Times New Roman" w:cs="Times New Roman"/>
          <w:b w:val="0"/>
          <w:sz w:val="28"/>
        </w:rPr>
      </w:r>
      <w:r>
        <w:rPr>
          <w:rFonts w:ascii="Times New Roman" w:hAnsi="Times New Roman" w:cs="Times New Roman"/>
          <w:b w:val="0"/>
          <w:sz w:val="28"/>
        </w:rPr>
      </w:r>
    </w:p>
    <w:p>
      <w:pPr>
        <w:pStyle w:val="837"/>
        <w:jc w:val="center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П</w:t>
      </w:r>
      <w:r>
        <w:rPr>
          <w:rFonts w:ascii="Times New Roman" w:hAnsi="Times New Roman" w:cs="Times New Roman"/>
          <w:b w:val="0"/>
          <w:sz w:val="28"/>
        </w:rPr>
        <w:t xml:space="preserve">АСПОРТ</w:t>
      </w:r>
      <w:r>
        <w:rPr>
          <w:rFonts w:ascii="Times New Roman" w:hAnsi="Times New Roman" w:cs="Times New Roman"/>
          <w:b w:val="0"/>
          <w:sz w:val="28"/>
        </w:rPr>
      </w:r>
      <w:r>
        <w:rPr>
          <w:rFonts w:ascii="Times New Roman" w:hAnsi="Times New Roman" w:cs="Times New Roman"/>
          <w:b w:val="0"/>
          <w:sz w:val="28"/>
        </w:rPr>
      </w:r>
    </w:p>
    <w:p>
      <w:pPr>
        <w:pStyle w:val="83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</w:rPr>
        <w:t xml:space="preserve">государственной программы</w:t>
      </w:r>
      <w:r>
        <w:rPr>
          <w:rFonts w:ascii="Times New Roman" w:hAnsi="Times New Roman" w:cs="Times New Roman"/>
          <w:b w:val="0"/>
          <w:sz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83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</w:rPr>
      </w:r>
      <w:r>
        <w:rPr>
          <w:rFonts w:ascii="Times New Roman" w:hAnsi="Times New Roman" w:cs="Times New Roman"/>
          <w:b w:val="0"/>
          <w:sz w:val="28"/>
        </w:rPr>
        <w:t xml:space="preserve">«</w:t>
      </w:r>
      <w:r>
        <w:rPr>
          <w:rFonts w:ascii="Times New Roman" w:hAnsi="Times New Roman" w:cs="Times New Roman"/>
          <w:b w:val="0"/>
          <w:sz w:val="28"/>
        </w:rPr>
        <w:t xml:space="preserve">Обеспечение качественными услугами </w:t>
      </w:r>
      <w:r>
        <w:rPr>
          <w:rFonts w:ascii="Times New Roman" w:hAnsi="Times New Roman" w:cs="Times New Roman"/>
          <w:b w:val="0"/>
          <w:sz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83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</w:rPr>
      </w:r>
      <w:r>
        <w:rPr>
          <w:rFonts w:ascii="Times New Roman" w:hAnsi="Times New Roman" w:cs="Times New Roman"/>
          <w:b w:val="0"/>
          <w:sz w:val="28"/>
        </w:rPr>
        <w:t xml:space="preserve">жилищно-коммунального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 xml:space="preserve">хозяйства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83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</w:rPr>
      </w:r>
      <w:r>
        <w:rPr>
          <w:rFonts w:ascii="Times New Roman" w:hAnsi="Times New Roman" w:cs="Times New Roman"/>
          <w:b w:val="0"/>
          <w:sz w:val="28"/>
        </w:rPr>
        <w:t xml:space="preserve">населения Оренбургской области</w:t>
      </w:r>
      <w:r>
        <w:rPr>
          <w:rFonts w:ascii="Times New Roman" w:hAnsi="Times New Roman" w:cs="Times New Roman"/>
          <w:b w:val="0"/>
          <w:sz w:val="28"/>
        </w:rPr>
        <w:t xml:space="preserve">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83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tbl>
      <w:tblPr>
        <w:tblW w:w="9922" w:type="dxa"/>
        <w:tblInd w:w="-3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831"/>
        <w:gridCol w:w="6091"/>
      </w:tblGrid>
      <w:tr>
        <w:tblPrEx/>
        <w:trPr/>
        <w:tc>
          <w:tcPr>
            <w:tcW w:w="383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Ответственный исполнитель государственной программы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6091" w:type="dxa"/>
            <w:textDirection w:val="lrTb"/>
            <w:noWrap w:val="false"/>
          </w:tcPr>
          <w:p>
            <w:pPr>
              <w:pStyle w:val="836"/>
              <w:ind w:left="142" w:right="0"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министерство строительства, жилищно-коммунального, дорожного хозяйства и транспорта Оренбургской области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  <w:tr>
        <w:tblPrEx/>
        <w:trPr/>
        <w:tc>
          <w:tcPr>
            <w:tcW w:w="383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Период реализации государственной программы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6091" w:type="dxa"/>
            <w:textDirection w:val="lrTb"/>
            <w:noWrap w:val="false"/>
          </w:tcPr>
          <w:p>
            <w:pPr>
              <w:pStyle w:val="836"/>
              <w:ind w:left="142" w:right="0"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2023–2030 годы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  <w:tr>
        <w:tblPrEx/>
        <w:trPr/>
        <w:tc>
          <w:tcPr>
            <w:tcW w:w="383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Цель государственной программы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6091" w:type="dxa"/>
            <w:textDirection w:val="lrTb"/>
            <w:noWrap w:val="false"/>
          </w:tcPr>
          <w:p>
            <w:pPr>
              <w:pStyle w:val="836"/>
              <w:ind w:left="142" w:right="0"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повышение качества и надежности предоставления жилищно-коммунальных услуг населению, создание безопасных и благоприятных условий проживания граждан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  <w:tr>
        <w:tblPrEx/>
        <w:trPr/>
        <w:tc>
          <w:tcPr>
            <w:tcW w:w="383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Направления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83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(подпрограммы)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6091" w:type="dxa"/>
            <w:textDirection w:val="lrTb"/>
            <w:noWrap w:val="false"/>
          </w:tcPr>
          <w:p>
            <w:pPr>
              <w:pStyle w:val="836"/>
              <w:ind w:left="142" w:right="0"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  <w:tr>
        <w:tblPrEx/>
        <w:trPr/>
        <w:tc>
          <w:tcPr>
            <w:tcW w:w="383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Показатели 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83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государственной 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83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программы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6091" w:type="dxa"/>
            <w:textDirection w:val="lrTb"/>
            <w:noWrap w:val="false"/>
          </w:tcPr>
          <w:p>
            <w:pPr>
              <w:pStyle w:val="836"/>
              <w:ind w:left="142" w:right="0" w:firstLine="0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ровень износа объектов коммунальной инфраструктуры;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pStyle w:val="836"/>
              <w:ind w:left="142" w:right="0" w:firstLine="0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многоквартирных домов, в которых проведен капитальный ремонт общего имущества;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pStyle w:val="836"/>
              <w:ind w:left="142" w:right="0" w:firstLine="0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цифровой зрелости в сфере жилищно-коммунального хозяйства;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pStyle w:val="836"/>
              <w:ind w:left="142" w:right="0" w:firstLine="0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расходов на оплату жилищно-коммунальных услуг в семейном доходе;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pStyle w:val="836"/>
              <w:ind w:left="142" w:right="0" w:firstLine="0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населения Оренбургской области, обеспеченного качественной питьевой водой из систем централизованного водоснабжения;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pStyle w:val="836"/>
              <w:ind w:left="142" w:right="0" w:firstLine="0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городского населения Оренбургской области, обеспеченного качественной питьевой водой из систем централизованного водоснабжения;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pStyle w:val="836"/>
              <w:ind w:left="142" w:right="0" w:firstLine="0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построенных и реконструированных (модернизированных) объектов питьевого водоснабжения и водоподготовки, предусмотренных региональными программами;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pStyle w:val="836"/>
              <w:ind w:left="142" w:right="0" w:firstLine="0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построенных и реконструированных (модернизированных) объектов питьевого водоснабжения и водоподготовки, нарастающим итогом с 2019 года;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pStyle w:val="836"/>
              <w:ind w:left="142" w:right="0" w:firstLine="0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населения, для которого улучшится качество предоставления коммунальных услуг (в сфере тепло-, водоснабжения и водоотведения), нарастающим итогом с 2025 года;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pStyle w:val="836"/>
              <w:ind w:left="142" w:right="0" w:firstLine="0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жилищного надзора и лицензионного контроля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383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Объем бюджетных ассигнований государственной 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83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программы, в том числе по годам реализации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6091" w:type="dxa"/>
            <w:textDirection w:val="lrTb"/>
            <w:noWrap w:val="false"/>
          </w:tcPr>
          <w:p>
            <w:pPr>
              <w:pStyle w:val="836"/>
              <w:ind w:left="142" w:right="0"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20 423 485,8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тыс. рублей, в том числе: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836"/>
              <w:ind w:left="142" w:right="0"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</w:rPr>
              <w:t xml:space="preserve">1 66</w:t>
            </w:r>
            <w:r>
              <w:rPr>
                <w:rFonts w:ascii="Times New Roman" w:hAnsi="Times New Roman" w:cs="Times New Roman"/>
                <w:sz w:val="28"/>
              </w:rPr>
              <w:t xml:space="preserve">6 139,1</w:t>
            </w:r>
            <w:r>
              <w:rPr>
                <w:rFonts w:ascii="Times New Roman" w:hAnsi="Times New Roman" w:cs="Times New Roman"/>
                <w:sz w:val="28"/>
              </w:rPr>
              <w:t xml:space="preserve"> тыс</w:t>
            </w:r>
            <w:r>
              <w:rPr>
                <w:rFonts w:ascii="Times New Roman" w:hAnsi="Times New Roman" w:cs="Times New Roman"/>
                <w:sz w:val="28"/>
              </w:rPr>
              <w:t xml:space="preserve">. рублей;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836"/>
              <w:ind w:left="142" w:right="0"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</w:rPr>
              <w:t xml:space="preserve">3 </w:t>
            </w:r>
            <w:r>
              <w:rPr>
                <w:rFonts w:ascii="Times New Roman" w:hAnsi="Times New Roman" w:cs="Times New Roman"/>
                <w:sz w:val="28"/>
              </w:rPr>
              <w:t xml:space="preserve">919</w:t>
            </w:r>
            <w:r>
              <w:rPr>
                <w:rFonts w:ascii="Times New Roman" w:hAnsi="Times New Roman" w:cs="Times New Roman"/>
                <w:sz w:val="28"/>
              </w:rPr>
              <w:t xml:space="preserve"> 478</w:t>
            </w:r>
            <w:r>
              <w:rPr>
                <w:rFonts w:ascii="Times New Roman" w:hAnsi="Times New Roman" w:cs="Times New Roman"/>
                <w:sz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тыс. рублей;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836"/>
              <w:ind w:left="142" w:right="0" w:firstLine="0"/>
              <w:jc w:val="both"/>
              <w:rPr>
                <w:rFonts w:asciiTheme="minorHAnsi" w:hAnsiTheme="minorHAnsi" w:cstheme="min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</w:rPr>
              <w:t xml:space="preserve">2 153 142,3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тыс. рублей;</w:t>
            </w:r>
            <w:r>
              <w:rPr>
                <w:rFonts w:asciiTheme="minorHAnsi" w:hAnsiTheme="minorHAnsi" w:cstheme="minorBidi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Theme="minorHAnsi" w:hAnsiTheme="minorHAnsi" w:cstheme="minorBidi"/>
                <w:b/>
                <w:bCs/>
                <w:color w:val="000000"/>
                <w:sz w:val="28"/>
                <w:szCs w:val="28"/>
              </w:rPr>
            </w:r>
          </w:p>
          <w:p>
            <w:pPr>
              <w:pStyle w:val="836"/>
              <w:ind w:left="142" w:right="0" w:firstLine="0"/>
              <w:jc w:val="both"/>
              <w:rPr>
                <w:rFonts w:ascii="Times New Roman" w:hAnsi="Times New Roman" w:cs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highlight w:val="white"/>
              </w:rPr>
              <w:t xml:space="preserve">2 462 399,0</w:t>
            </w:r>
            <w:r>
              <w:rPr>
                <w:b/>
                <w:bCs/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highlight w:val="white"/>
              </w:rPr>
              <w:t xml:space="preserve">тыс. рублей;</w:t>
            </w:r>
            <w:r>
              <w:rPr>
                <w:rFonts w:ascii="Times New Roman" w:hAnsi="Times New Roman" w:cs="Times New Roman"/>
                <w:sz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highlight w:val="white"/>
              </w:rPr>
            </w:r>
          </w:p>
          <w:p>
            <w:pPr>
              <w:pStyle w:val="836"/>
              <w:ind w:left="142" w:right="0" w:firstLine="0"/>
              <w:jc w:val="both"/>
              <w:rPr>
                <w:rFonts w:ascii="Times New Roman" w:hAnsi="Times New Roman" w:cs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highlight w:val="white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highlight w:val="white"/>
              </w:rPr>
              <w:t xml:space="preserve">3 364 133,0</w:t>
            </w:r>
            <w:r>
              <w:rPr>
                <w:b/>
                <w:bCs/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highlight w:val="white"/>
              </w:rPr>
              <w:t xml:space="preserve">тыс. рублей;</w:t>
            </w:r>
            <w:r>
              <w:rPr>
                <w:rFonts w:ascii="Times New Roman" w:hAnsi="Times New Roman" w:cs="Times New Roman"/>
                <w:sz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highlight w:val="white"/>
              </w:rPr>
            </w:r>
          </w:p>
          <w:p>
            <w:pPr>
              <w:pStyle w:val="836"/>
              <w:ind w:left="142" w:right="0" w:firstLine="0"/>
              <w:jc w:val="both"/>
              <w:rPr>
                <w:rFonts w:ascii="Times New Roman" w:hAnsi="Times New Roman" w:cs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highlight w:val="white"/>
              </w:rPr>
              <w:t xml:space="preserve">2028 год – 3 825 770,5</w:t>
            </w:r>
            <w:r>
              <w:rPr>
                <w:rFonts w:ascii="Times New Roman" w:hAnsi="Times New Roman" w:cs="Times New Roman"/>
                <w:sz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highlight w:val="white"/>
              </w:rPr>
              <w:t xml:space="preserve">тыс. рублей;</w:t>
            </w:r>
            <w:r>
              <w:rPr>
                <w:rFonts w:ascii="Times New Roman" w:hAnsi="Times New Roman" w:cs="Times New Roman"/>
                <w:sz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highlight w:val="white"/>
              </w:rPr>
            </w:r>
          </w:p>
          <w:p>
            <w:pPr>
              <w:pStyle w:val="836"/>
              <w:ind w:left="142" w:right="0" w:firstLine="0"/>
              <w:jc w:val="both"/>
              <w:rPr>
                <w:rFonts w:ascii="Times New Roman" w:hAnsi="Times New Roman" w:cs="Times New Roman"/>
                <w:sz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highlight w:val="white"/>
              </w:rPr>
              <w:t xml:space="preserve">2029 год – 1 516 211,9</w:t>
            </w:r>
            <w:r>
              <w:rPr>
                <w:rFonts w:ascii="Times New Roman" w:hAnsi="Times New Roman" w:cs="Times New Roman"/>
                <w:sz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highlight w:val="white"/>
              </w:rPr>
              <w:t xml:space="preserve">тыс. рублей;</w:t>
            </w:r>
            <w:r>
              <w:rPr>
                <w:rFonts w:ascii="Times New Roman" w:hAnsi="Times New Roman" w:cs="Times New Roman"/>
                <w:sz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highlight w:val="white"/>
              </w:rPr>
            </w:r>
          </w:p>
          <w:p>
            <w:pPr>
              <w:pStyle w:val="836"/>
              <w:ind w:left="142" w:right="0"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highlight w:val="white"/>
              </w:rPr>
              <w:t xml:space="preserve">2030 год – </w:t>
            </w:r>
            <w:r>
              <w:rPr>
                <w:rFonts w:ascii="Times New Roman" w:hAnsi="Times New Roman" w:cs="Times New Roman"/>
                <w:sz w:val="28"/>
                <w:highlight w:val="white"/>
              </w:rPr>
              <w:t xml:space="preserve">1 516 211,9</w:t>
            </w:r>
            <w:r>
              <w:rPr>
                <w:rFonts w:ascii="Times New Roman" w:hAnsi="Times New Roman" w:cs="Times New Roman"/>
                <w:sz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highlight w:val="white"/>
              </w:rPr>
              <w:t xml:space="preserve">ты</w:t>
            </w:r>
            <w:r>
              <w:rPr>
                <w:rFonts w:ascii="Times New Roman" w:hAnsi="Times New Roman" w:cs="Times New Roman"/>
                <w:sz w:val="28"/>
                <w:highlight w:val="white"/>
              </w:rPr>
              <w:t xml:space="preserve">с</w:t>
            </w:r>
            <w:r>
              <w:rPr>
                <w:rFonts w:ascii="Times New Roman" w:hAnsi="Times New Roman" w:cs="Times New Roman"/>
                <w:sz w:val="28"/>
              </w:rPr>
              <w:t xml:space="preserve">. рублей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  <w:tr>
        <w:tblPrEx/>
        <w:trPr/>
        <w:tc>
          <w:tcPr>
            <w:tcW w:w="383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Влияние на достижение национальных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целей 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83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развития Российской Федерации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6091" w:type="dxa"/>
            <w:textDirection w:val="lrTb"/>
            <w:noWrap w:val="false"/>
          </w:tcPr>
          <w:p>
            <w:pPr>
              <w:pStyle w:val="836"/>
              <w:ind w:left="142" w:right="0" w:firstLine="0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национальная цель: комфортная и безопасная среда для жизни/показатель: улучшено качество предоставляемых коммунальных услуг для 20 млн. человек к 2030 году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383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Связь с иными государственными программами 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83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Оренбургской области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6091" w:type="dxa"/>
            <w:textDirection w:val="lrTb"/>
            <w:noWrap w:val="false"/>
          </w:tcPr>
          <w:p>
            <w:pPr>
              <w:pStyle w:val="836"/>
              <w:ind w:left="142" w:right="0"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</w:tbl>
    <w:p>
      <w:pPr>
        <w:pStyle w:val="83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6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837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Елена Борисовна</dc:creator>
  <cp:keywords/>
  <dc:description/>
  <cp:lastModifiedBy>vsvo</cp:lastModifiedBy>
  <cp:revision>36</cp:revision>
  <dcterms:created xsi:type="dcterms:W3CDTF">2022-10-31T12:52:00Z</dcterms:created>
  <dcterms:modified xsi:type="dcterms:W3CDTF">2025-10-31T09:29:32Z</dcterms:modified>
</cp:coreProperties>
</file>